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1.png" ContentType="image/png"/>
  <Override PartName="/word/media/rId1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Income and Life Expectancy: A Global Perspective</w:t>
      </w:r>
    </w:p>
    <w:p>
      <w:pPr>
        <w:pStyle w:val="Author"/>
      </w:pPr>
      <w:r>
        <w:t xml:space="preserve">Student Name</w:t>
      </w:r>
    </w:p>
    <w:p>
      <w:pPr>
        <w:pStyle w:val="Date"/>
      </w:pPr>
      <w:r>
        <w:t xml:space="preserve">2026-05-19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9" w:name="introduction"/>
    <w:p>
      <w:pPr>
        <w:pStyle w:val="Heading2"/>
      </w:pPr>
      <w:r>
        <w:t xml:space="preserve">1 Introduction</w:t>
      </w:r>
    </w:p>
    <w:p>
      <w:pPr>
        <w:pStyle w:val="FirstParagraph"/>
      </w:pPr>
      <w:r>
        <w:t xml:space="preserve">How does a country’s wealth relate to the health of its population? This report</w:t>
      </w:r>
      <w:r>
        <w:t xml:space="preserve"> </w:t>
      </w:r>
      <w:r>
        <w:t xml:space="preserve">examines the cross-country relationship between income and life expectancy using</w:t>
      </w:r>
      <w:r>
        <w:t xml:space="preserve"> </w:t>
      </w:r>
      <w:r>
        <w:t xml:space="preserve">data from the</w:t>
      </w:r>
      <w:r>
        <w:t xml:space="preserve"> </w:t>
      </w:r>
      <w:r>
        <w:rPr>
          <w:rStyle w:val="VerbatimChar"/>
        </w:rPr>
        <w:t xml:space="preserve">gapminder</w:t>
      </w:r>
      <w:r>
        <w:t xml:space="preserve"> </w:t>
      </w:r>
      <w:r>
        <w:t xml:space="preserve">package. The relationship between income and life</w:t>
      </w:r>
      <w:r>
        <w:t xml:space="preserve"> </w:t>
      </w:r>
      <w:r>
        <w:t xml:space="preserve">expectancy was first systematically documented by</w:t>
      </w:r>
      <w:r>
        <w:t xml:space="preserve"> </w:t>
      </w:r>
      <w:r>
        <w:t xml:space="preserve">Preston (1975)</w:t>
      </w:r>
      <w:r>
        <w:t xml:space="preserve">, who showed that</w:t>
      </w:r>
      <w:r>
        <w:t xml:space="preserve"> </w:t>
      </w:r>
      <w:r>
        <w:t xml:space="preserve">richer countries tend to have substantially longer life expectancy — a pattern</w:t>
      </w:r>
      <w:r>
        <w:t xml:space="preserve"> </w:t>
      </w:r>
      <w:r>
        <w:t xml:space="preserve">now known as the</w:t>
      </w:r>
      <w:r>
        <w:t xml:space="preserve"> </w:t>
      </w:r>
      <w:r>
        <w:rPr>
          <w:i/>
          <w:iCs/>
        </w:rPr>
        <w:t xml:space="preserve">Preston curve</w:t>
      </w:r>
      <w:r>
        <w:t xml:space="preserve">.</w:t>
      </w:r>
    </w:p>
    <w:p>
      <w:pPr>
        <w:pStyle w:val="BodyText"/>
      </w:pPr>
      <w:r>
        <w:t xml:space="preserve">Understanding this relationship matters for international business: companies</w:t>
      </w:r>
      <w:r>
        <w:t xml:space="preserve"> </w:t>
      </w:r>
      <w:r>
        <w:t xml:space="preserve">expanding into lower-income markets face very different consumer health profiles,</w:t>
      </w:r>
      <w:r>
        <w:t xml:space="preserve"> </w:t>
      </w:r>
      <w:r>
        <w:t xml:space="preserve">healthcare costs, and workforce productivity than those operating in wealthy</w:t>
      </w:r>
      <w:r>
        <w:t xml:space="preserve"> </w:t>
      </w:r>
      <w:r>
        <w:t xml:space="preserve">economies.</w:t>
      </w:r>
    </w:p>
    <w:bookmarkEnd w:id="9"/>
    <w:bookmarkStart w:id="10" w:name="data"/>
    <w:p>
      <w:pPr>
        <w:pStyle w:val="Heading2"/>
      </w:pPr>
      <w:r>
        <w:t xml:space="preserve">2 Data</w:t>
      </w:r>
    </w:p>
    <w:p>
      <w:pPr>
        <w:pStyle w:val="FirstParagraph"/>
      </w:pPr>
      <w:r>
        <w:t xml:space="preserve">The analysis uses data from the</w:t>
      </w:r>
      <w:r>
        <w:t xml:space="preserve"> </w:t>
      </w:r>
      <w:r>
        <w:rPr>
          <w:rStyle w:val="VerbatimChar"/>
        </w:rPr>
        <w:t xml:space="preserve">gapminder</w:t>
      </w:r>
      <w:r>
        <w:t xml:space="preserve"> </w:t>
      </w:r>
      <w:r>
        <w:t xml:space="preserve">package</w:t>
      </w:r>
      <w:r>
        <w:t xml:space="preserve"> </w:t>
      </w:r>
      <w:r>
        <w:t xml:space="preserve">(Békés and Kézdi 2021)</w:t>
      </w:r>
      <w:r>
        <w:t xml:space="preserve">, which</w:t>
      </w:r>
      <w:r>
        <w:t xml:space="preserve"> </w:t>
      </w:r>
      <w:r>
        <w:t xml:space="preserve">provides information on GDP per capita, life expectancy, and population for</w:t>
      </w:r>
      <w:r>
        <w:t xml:space="preserve"> </w:t>
      </w:r>
      <w:r>
        <w:t xml:space="preserve">142 countries observed at five-year intervals from 1952 to 2007. We focus on</w:t>
      </w:r>
      <w:r>
        <w:t xml:space="preserve"> </w:t>
      </w:r>
      <w:r>
        <w:t xml:space="preserve">the 2007 cross-section — the most recent year in the dataset — to examine the</w:t>
      </w:r>
      <w:r>
        <w:t xml:space="preserve"> </w:t>
      </w:r>
      <w:r>
        <w:t xml:space="preserve">contemporary income–health relationship.</w:t>
      </w:r>
    </w:p>
    <w:bookmarkEnd w:id="10"/>
    <w:bookmarkStart w:id="19" w:name="analysis"/>
    <w:p>
      <w:pPr>
        <w:pStyle w:val="Heading2"/>
      </w:pPr>
      <w:r>
        <w:t xml:space="preserve">3 Analysis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(gapminder)</w:t>
      </w:r>
      <w:r>
        <w:br/>
      </w:r>
      <w:r>
        <w:br/>
      </w:r>
      <w:r>
        <w:rPr>
          <w:rStyle w:val="NormalTok"/>
        </w:rPr>
        <w:t xml:space="preserve">gapminder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(year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2007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gdpPercap,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lifeExp, </w:t>
      </w:r>
      <w:r>
        <w:rPr>
          <w:rStyle w:val="AttributeTok"/>
        </w:rPr>
        <w:t xml:space="preserve">colour =</w:t>
      </w:r>
      <w:r>
        <w:rPr>
          <w:rStyle w:val="NormalTok"/>
        </w:rPr>
        <w:t xml:space="preserve"> continent,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pop))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scale_x_log10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scales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label_comma</w:t>
      </w:r>
      <w:r>
        <w:rPr>
          <w:rStyle w:val="NormalTok"/>
        </w:rPr>
        <w:t xml:space="preserve">())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     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"GDP per capita (USD, log scale)"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y     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"Life expectancy (years)"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colour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"Continent"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size  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"Population"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4" w:name="fig-gapminder"/>
          <w:p>
            <w:pPr>
              <w:pStyle w:val="Compact"/>
              <w:jc w:val="center"/>
            </w:pPr>
            <w:r>
              <w:drawing>
                <wp:inline>
                  <wp:extent cx="5334000" cy="4267200"/>
                  <wp:effectExtent b="0" l="0" r="0" t="0"/>
                  <wp:docPr descr="" title="" id="12" name="Picture"/>
                  <a:graphic>
                    <a:graphicData uri="http://schemas.openxmlformats.org/drawingml/2006/picture">
                      <pic:pic>
                        <pic:nvPicPr>
                          <pic:cNvPr descr="solution_files/figure-docx/fig-gapminder-1.png" id="1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26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GDP per capita and life expectancy across countries (2007). Bubble size reflects population size.</w:t>
            </w:r>
          </w:p>
          <w:bookmarkEnd w:id="14"/>
        </w:tc>
      </w:tr>
    </w:tbl>
    <w:p>
      <w:pPr>
        <w:pStyle w:val="BodyText"/>
      </w:pPr>
      <w:hyperlink w:anchor="fig-gapminder">
        <w:r>
          <w:rPr>
            <w:rStyle w:val="Hyperlink"/>
          </w:rPr>
          <w:t xml:space="preserve">Figure 1</w:t>
        </w:r>
      </w:hyperlink>
      <w:r>
        <w:t xml:space="preserve"> </w:t>
      </w:r>
      <w:r>
        <w:t xml:space="preserve">shows a clear positive association: countries with higher GDP</w:t>
      </w:r>
      <w:r>
        <w:t xml:space="preserve"> </w:t>
      </w:r>
      <w:r>
        <w:t xml:space="preserve">per capita tend to have longer life expectancy. The x-axis uses a</w:t>
      </w:r>
      <w:r>
        <w:t xml:space="preserve"> </w:t>
      </w:r>
      <w:r>
        <w:rPr>
          <w:b/>
          <w:bCs/>
        </w:rPr>
        <w:t xml:space="preserve">log scale</w:t>
      </w:r>
      <w:r>
        <w:t xml:space="preserve"> </w:t>
      </w:r>
      <w:r>
        <w:t xml:space="preserve">because GDP per capita varies enormously across countries — on a log scale,</w:t>
      </w:r>
      <w:r>
        <w:t xml:space="preserve"> </w:t>
      </w:r>
      <w:r>
        <w:t xml:space="preserve">equal distances represent equal</w:t>
      </w:r>
      <w:r>
        <w:t xml:space="preserve"> </w:t>
      </w:r>
      <w:r>
        <w:rPr>
          <w:i/>
          <w:iCs/>
        </w:rPr>
        <w:t xml:space="preserve">percentage</w:t>
      </w:r>
      <w:r>
        <w:t xml:space="preserve"> </w:t>
      </w:r>
      <w:r>
        <w:t xml:space="preserve">differences, which makes the</w:t>
      </w:r>
      <w:r>
        <w:t xml:space="preserve"> </w:t>
      </w:r>
      <w:r>
        <w:t xml:space="preserve">comparison more meaningful.</w:t>
      </w:r>
    </w:p>
    <w:p>
      <w:pPr>
        <w:pStyle w:val="BodyText"/>
      </w:pPr>
      <w:r>
        <w:t xml:space="preserve">African countries (red) cluster in the lower-left quadrant — lower income and</w:t>
      </w:r>
      <w:r>
        <w:t xml:space="preserve"> </w:t>
      </w:r>
      <w:r>
        <w:t xml:space="preserve">shorter life expectancy — while European and Oceanian countries dominate the</w:t>
      </w:r>
      <w:r>
        <w:t xml:space="preserve"> </w:t>
      </w:r>
      <w:r>
        <w:t xml:space="preserve">upper-right. Asia shows the most heterogeneity: countries like Japan sit near</w:t>
      </w:r>
      <w:r>
        <w:t xml:space="preserve"> </w:t>
      </w:r>
      <w:r>
        <w:t xml:space="preserve">the top, while several lower-income Asian nations fall much lower. The</w:t>
      </w:r>
      <w:r>
        <w:t xml:space="preserve"> </w:t>
      </w:r>
      <w:r>
        <w:t xml:space="preserve">relationship is not perfectly tight: some countries have higher life expectancy</w:t>
      </w:r>
      <w:r>
        <w:t xml:space="preserve"> </w:t>
      </w:r>
      <w:r>
        <w:t xml:space="preserve">than their income level alone would predict, reflecting differences in health</w:t>
      </w:r>
      <w:r>
        <w:t xml:space="preserve"> </w:t>
      </w:r>
      <w:r>
        <w:t xml:space="preserve">systems, diet, and geography.</w:t>
      </w:r>
    </w:p>
    <w:p>
      <w:pPr>
        <w:pStyle w:val="SourceCode"/>
      </w:pPr>
      <w:r>
        <w:rPr>
          <w:rStyle w:val="NormalTok"/>
        </w:rPr>
        <w:t xml:space="preserve">gapminder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(year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1952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gdpPercap,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lifeExp, </w:t>
      </w:r>
      <w:r>
        <w:rPr>
          <w:rStyle w:val="AttributeTok"/>
        </w:rPr>
        <w:t xml:space="preserve">colour =</w:t>
      </w:r>
      <w:r>
        <w:rPr>
          <w:rStyle w:val="NormalTok"/>
        </w:rPr>
        <w:t xml:space="preserve"> continent,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pop))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scale_x_log10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scales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label_comma</w:t>
      </w:r>
      <w:r>
        <w:rPr>
          <w:rStyle w:val="NormalTok"/>
        </w:rPr>
        <w:t xml:space="preserve">())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     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"GDP per capita (USD, log scale)"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y     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"Life expectancy (years)"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colour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"Continent"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size  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"Population"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"bottom"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8" w:name="fig-gapminder-1952"/>
          <w:p>
            <w:pPr>
              <w:pStyle w:val="Compact"/>
              <w:jc w:val="center"/>
            </w:pPr>
            <w:r>
              <w:drawing>
                <wp:inline>
                  <wp:extent cx="5334000" cy="4267200"/>
                  <wp:effectExtent b="0" l="0" r="0" t="0"/>
                  <wp:docPr descr="" title="" id="16" name="Picture"/>
                  <a:graphic>
                    <a:graphicData uri="http://schemas.openxmlformats.org/drawingml/2006/picture">
                      <pic:pic>
                        <pic:nvPicPr>
                          <pic:cNvPr descr="solution_files/figure-docx/fig-gapminder-1952-1.png" id="1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26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2: GDP per capita and life expectancy across countries (1952). Compare with Figure 1 to see how the relationship has changed.</w:t>
            </w:r>
          </w:p>
          <w:bookmarkEnd w:id="18"/>
        </w:tc>
      </w:tr>
    </w:tbl>
    <w:p>
      <w:pPr>
        <w:pStyle w:val="BodyText"/>
      </w:pPr>
      <w:hyperlink w:anchor="fig-gapminder-1952">
        <w:r>
          <w:rPr>
            <w:rStyle w:val="Hyperlink"/>
          </w:rPr>
          <w:t xml:space="preserve">Figure 2</w:t>
        </w:r>
      </w:hyperlink>
      <w:r>
        <w:t xml:space="preserve"> </w:t>
      </w:r>
      <w:r>
        <w:t xml:space="preserve">shows the same relationship in 1952. Comparing the two</w:t>
      </w:r>
      <w:r>
        <w:t xml:space="preserve"> </w:t>
      </w:r>
      <w:r>
        <w:t xml:space="preserve">figures, several patterns stand out. First, life expectancy has risen</w:t>
      </w:r>
      <w:r>
        <w:t xml:space="preserve"> </w:t>
      </w:r>
      <w:r>
        <w:t xml:space="preserve">substantially in all regions — the entire cloud of points has shifted upward.</w:t>
      </w:r>
      <w:r>
        <w:t xml:space="preserve"> </w:t>
      </w:r>
      <w:r>
        <w:t xml:space="preserve">Second, the spread across countries has</w:t>
      </w:r>
      <w:r>
        <w:t xml:space="preserve"> </w:t>
      </w:r>
      <w:r>
        <w:rPr>
          <w:i/>
          <w:iCs/>
        </w:rPr>
        <w:t xml:space="preserve">narrowed</w:t>
      </w:r>
      <w:r>
        <w:t xml:space="preserve">: in 1952 many countries had</w:t>
      </w:r>
      <w:r>
        <w:t xml:space="preserve"> </w:t>
      </w:r>
      <w:r>
        <w:t xml:space="preserve">life expectancies below 40 years; by 2007 very few do. Third, the positive</w:t>
      </w:r>
      <w:r>
        <w:t xml:space="preserve"> </w:t>
      </w:r>
      <w:r>
        <w:t xml:space="preserve">income–health association was already present in 1952, suggesting it is a</w:t>
      </w:r>
      <w:r>
        <w:t xml:space="preserve"> </w:t>
      </w:r>
      <w:r>
        <w:t xml:space="preserve">persistent structural feature rather than a recent development.</w:t>
      </w:r>
    </w:p>
    <w:bookmarkEnd w:id="19"/>
    <w:bookmarkStart w:id="25" w:name="references"/>
    <w:p>
      <w:pPr>
        <w:pStyle w:val="Heading2"/>
      </w:pPr>
      <w:r>
        <w:t xml:space="preserve">4 References</w:t>
      </w:r>
    </w:p>
    <w:bookmarkStart w:id="24" w:name="refs"/>
    <w:bookmarkStart w:id="21" w:name="ref-BekezKezdi2021"/>
    <w:p>
      <w:pPr>
        <w:pStyle w:val="Bibliography"/>
      </w:pPr>
      <w:r>
        <w:t xml:space="preserve">Békés, G. and Kézdi, G. (2021)</w:t>
      </w:r>
      <w:r>
        <w:t xml:space="preserve"> </w:t>
      </w:r>
      <w:r>
        <w:rPr>
          <w:i/>
          <w:iCs/>
        </w:rPr>
        <w:t xml:space="preserve">Data analysis for business, economics, and policy</w:t>
      </w:r>
      <w:r>
        <w:t xml:space="preserve">, Cambridge University Press, available at</w:t>
      </w:r>
      <w:r>
        <w:t xml:space="preserve"> </w:t>
      </w:r>
      <w:hyperlink r:id="rId20">
        <w:r>
          <w:rPr>
            <w:rStyle w:val="Hyperlink"/>
          </w:rPr>
          <w:t xml:space="preserve">https://gabors-data-analysis.com</w:t>
        </w:r>
      </w:hyperlink>
      <w:r>
        <w:t xml:space="preserve">.</w:t>
      </w:r>
    </w:p>
    <w:bookmarkEnd w:id="21"/>
    <w:bookmarkStart w:id="23" w:name="ref-Preston1975"/>
    <w:p>
      <w:pPr>
        <w:pStyle w:val="Bibliography"/>
      </w:pPr>
      <w:r>
        <w:t xml:space="preserve">Preston, S. H. (1975)</w:t>
      </w:r>
      <w:r>
        <w:t xml:space="preserve"> </w:t>
      </w:r>
      <w:r>
        <w:t xml:space="preserve">‘</w:t>
      </w:r>
      <w:hyperlink r:id="rId22">
        <w:r>
          <w:rPr>
            <w:rStyle w:val="Hyperlink"/>
          </w:rPr>
          <w:t xml:space="preserve">The changing relation between mortality and level of economic development</w:t>
        </w:r>
      </w:hyperlink>
      <w:r>
        <w:t xml:space="preserve">’</w:t>
      </w:r>
      <w:r>
        <w:t xml:space="preserve">,</w:t>
      </w:r>
      <w:r>
        <w:t xml:space="preserve"> </w:t>
      </w:r>
      <w:r>
        <w:rPr>
          <w:i/>
          <w:iCs/>
        </w:rPr>
        <w:t xml:space="preserve">Population Studies</w:t>
      </w:r>
      <w:r>
        <w:t xml:space="preserve"> </w:t>
      </w:r>
      <w:r>
        <w:t xml:space="preserve">29(2): 231–248.</w:t>
      </w:r>
    </w:p>
    <w:bookmarkEnd w:id="23"/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1" Target="media/rId11.png" /><Relationship Type="http://schemas.openxmlformats.org/officeDocument/2006/relationships/image" Id="rId15" Target="media/rId15.png" /><Relationship Type="http://schemas.openxmlformats.org/officeDocument/2006/relationships/hyperlink" Id="rId22" Target="https://doi.org/10.2307/2173509" TargetMode="External" /><Relationship Type="http://schemas.openxmlformats.org/officeDocument/2006/relationships/hyperlink" Id="rId20" Target="https://gabors-data-analysis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doi.org/10.2307/2173509" TargetMode="External" /><Relationship Type="http://schemas.openxmlformats.org/officeDocument/2006/relationships/hyperlink" Id="rId20" Target="https://gabors-data-analysi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and Life Expectancy: A Global Perspective</dc:title>
  <dc:creator>Student Name</dc:creator>
  <cp:keywords/>
  <dcterms:created xsi:type="dcterms:W3CDTF">2026-05-19T10:34:30Z</dcterms:created>
  <dcterms:modified xsi:type="dcterms:W3CDTF">2026-05-19T10:34:30Z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>references.bib</vt:lpwstr>
  </property>
  <property fmtid="{D5CDD505-2E9C-101B-9397-08002B2CF9AE}" pid="5" name="by-author">
    <vt:lpwstr/>
  </property>
  <property fmtid="{D5CDD505-2E9C-101B-9397-08002B2CF9AE}" pid="6" name="csl">
    <vt:lpwstr>../../../references/jepp.csl</vt:lpwstr>
  </property>
  <property fmtid="{D5CDD505-2E9C-101B-9397-08002B2CF9AE}" pid="7" name="date">
    <vt:lpwstr>2026-05-19</vt:lpwstr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toc-title">
    <vt:lpwstr>Table of contents</vt:lpwstr>
  </property>
</Properties>
</file>